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Batxillerat</w:t>
      </w:r>
      <w:r w:rsidDel="00000000" w:rsidR="00000000" w:rsidRPr="00000000">
        <w:rPr>
          <w:b w:val="1"/>
          <w:color w:val="ffffff"/>
          <w:rtl w:val="0"/>
        </w:rPr>
        <w:t xml:space="preserve">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Comprensió escrita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 (120 paraules)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Exercicis de gramàtica i vocabulari de les unitats Starter, 1 i 2 del llibre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Comprensió escrita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Activitat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 (mínim 120 paraules)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Activitat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Exercicis de gramàtica i vocabulari de les unitats 3, 4 i 5 del llibre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2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D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E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F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Comprensió escrita tipus test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amb penalització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 (120 paraules)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Exercicis de gramàtica i vocabulari de les unitats 6,7 i 8  del llibre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3F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1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2">
            <w:pPr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3">
            <w:pPr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4">
            <w:pPr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E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Final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0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1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2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totes les unitats del llibre i exercici de comprensió lectora  i d’expressió escrita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6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Extraordinària</w:t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8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9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A">
            <w:pPr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totes les unitats del llibre i exercici de comprensió lectora  i d’expressió escrita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-431163</wp:posOffset>
          </wp:positionH>
          <wp:positionV relativeFrom="paragraph">
            <wp:posOffset>-168273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0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1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0" w:before="120" w:line="240" w:lineRule="auto"/>
      <w:outlineLvl w:val="5"/>
    </w:pPr>
    <w:rPr>
      <w:rFonts w:ascii="Arial" w:cs="Arial" w:eastAsia="Arial" w:hAnsi="Arial"/>
      <w:b w:val="1"/>
      <w:i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RaWk6ghvvzDiFvHKd2FZCerfA==">AMUW2mXYKlKTDNCTNJ1iVuY8YMHu3+IQriL3teixk0r9htJq5vA9LsEbUgqpCESB0FuRuvWIXg0Rx26xStUos4uWmV2alf46S91CMclE/yED5VfVKD1EXKfCE6wx+SrNWyPvT1UIi1jS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2020-09-02T11:53:00Z</dcterms:created>
  <dc:creator>Montse Puig</dc:creator>
</cp:coreProperties>
</file>