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63242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  <w:rtl w:val="0"/>
        </w:rPr>
        <w:t xml:space="preserve">Curs: 3r ESO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Matèria: Biologia i Geologia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tots els treballs i exàmens es descomptarà 0,1 punts per cada falta d’ortografia, amb un màxim d’1 punt. 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63242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4109"/>
        <w:gridCol w:w="1553"/>
        <w:tblGridChange w:id="0">
          <w:tblGrid>
            <w:gridCol w:w="2832"/>
            <w:gridCol w:w="4109"/>
            <w:gridCol w:w="1553"/>
          </w:tblGrid>
        </w:tblGridChange>
      </w:tblGrid>
      <w:tr>
        <w:trPr>
          <w:cantSplit w:val="0"/>
          <w:tblHeader w:val="0"/>
        </w:trPr>
        <w:tc>
          <w:tcPr>
            <w:shd w:fill="31849b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31849b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31849b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Projecte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Projecte comú amb l’àrea de matemàtiques. El tema central del projecte és la nutrició i l'alimentació.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1: La cèl·lula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2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3: La relació humana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3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4: La Reproducció humana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4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5: La resposta immunitària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Experiència Cèl·lula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Elaboració d’un vídeo explicatiu amb els principals orgànuls cel·lulars, així com els nivells d’organització cel·lular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Experiència Dissecció Cor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Elaboració d’un informe de pràctiques individual de la dissecció d’un cor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Experiències al laboratori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Resposta a tots els qüestionaris que estan al campus virtual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 a classe, deures, interès en la matèria, ...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1849b"/>
          <w:sz w:val="28"/>
          <w:szCs w:val="28"/>
          <w:u w:val="none"/>
          <w:shd w:fill="auto" w:val="clear"/>
          <w:vertAlign w:val="baseline"/>
          <w:rtl w:val="0"/>
        </w:rPr>
        <w:t xml:space="preserve">Recuperació</w:t>
      </w:r>
    </w:p>
    <w:p w:rsidR="00000000" w:rsidDel="00000000" w:rsidP="00000000" w:rsidRDefault="00000000" w:rsidRPr="00000000" w14:paraId="0000002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1849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1849b"/>
          <w:sz w:val="26"/>
          <w:szCs w:val="26"/>
          <w:u w:val="none"/>
          <w:shd w:fill="auto" w:val="clear"/>
          <w:vertAlign w:val="baseline"/>
          <w:rtl w:val="0"/>
        </w:rPr>
        <w:t xml:space="preserve">Final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4372"/>
        <w:gridCol w:w="1287"/>
        <w:tblGridChange w:id="0">
          <w:tblGrid>
            <w:gridCol w:w="2835"/>
            <w:gridCol w:w="4372"/>
            <w:gridCol w:w="1287"/>
          </w:tblGrid>
        </w:tblGridChange>
      </w:tblGrid>
      <w:tr>
        <w:trPr>
          <w:cantSplit w:val="0"/>
          <w:tblHeader w:val="0"/>
        </w:trPr>
        <w:tc>
          <w:tcPr>
            <w:shd w:fill="31849b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31849b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31849b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Activitats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Realització d’activitats relacionades amb el temari donat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35">
      <w:pPr>
        <w:keepNext w:val="1"/>
        <w:keepLines w:val="1"/>
        <w:spacing w:after="130" w:before="260" w:lineRule="auto"/>
        <w:rPr>
          <w:b w:val="1"/>
          <w:color w:val="007fa9"/>
          <w:sz w:val="26"/>
          <w:szCs w:val="26"/>
        </w:rPr>
      </w:pPr>
      <w:bookmarkStart w:colFirst="0" w:colLast="0" w:name="_heading=h.em9pdbpsvzok" w:id="0"/>
      <w:bookmarkEnd w:id="0"/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Cursos Posteriors</w:t>
      </w:r>
    </w:p>
    <w:p w:rsidR="00000000" w:rsidDel="00000000" w:rsidP="00000000" w:rsidRDefault="00000000" w:rsidRPr="00000000" w14:paraId="00000036">
      <w:pPr>
        <w:spacing w:after="11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10" w:lineRule="auto"/>
        <w:jc w:val="both"/>
        <w:rPr/>
      </w:pPr>
      <w:r w:rsidDel="00000000" w:rsidR="00000000" w:rsidRPr="00000000">
        <w:rPr>
          <w:rtl w:val="0"/>
        </w:rPr>
        <w:t xml:space="preserve">En el cas de passar de curs i no aprovar la matèria, l’alumnat tindrà les següents oportunitats per assolir els continguts de la matèria:</w:t>
      </w:r>
    </w:p>
    <w:p w:rsidR="00000000" w:rsidDel="00000000" w:rsidP="00000000" w:rsidRDefault="00000000" w:rsidRPr="00000000" w14:paraId="00000038">
      <w:pPr>
        <w:spacing w:after="11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Febrer-Març curs següent: Feina d’assoliment.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Juny del curs següent: Feina d’assoliment.</w:t>
      </w:r>
    </w:p>
    <w:p w:rsidR="00000000" w:rsidDel="00000000" w:rsidP="00000000" w:rsidRDefault="00000000" w:rsidRPr="00000000" w14:paraId="0000003B">
      <w:pPr>
        <w:spacing w:after="11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10" w:lineRule="auto"/>
        <w:jc w:val="both"/>
        <w:rPr/>
      </w:pPr>
      <w:r w:rsidDel="00000000" w:rsidR="00000000" w:rsidRPr="00000000">
        <w:rPr>
          <w:rtl w:val="0"/>
        </w:rPr>
        <w:t xml:space="preserve">A més, l’alumnat pot aprovar la matèria aprovant la Biologia i la Geologia de quart d’ESO, independentment de les oportunitats descrites anteriorment.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993" w:top="1418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850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621"/>
      <w:gridCol w:w="5883"/>
      <w:tblGridChange w:id="0">
        <w:tblGrid>
          <w:gridCol w:w="2621"/>
          <w:gridCol w:w="588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77850" cy="866775"/>
                <wp:effectExtent b="0" l="0" r="0" t="0"/>
                <wp:docPr descr="LogoEJP" id="7" name="image1.png"/>
                <a:graphic>
                  <a:graphicData uri="http://schemas.openxmlformats.org/drawingml/2006/picture">
                    <pic:pic>
                      <pic:nvPicPr>
                        <pic:cNvPr descr="LogoEJP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2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850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623"/>
      <w:gridCol w:w="5881"/>
      <w:tblGridChange w:id="0">
        <w:tblGrid>
          <w:gridCol w:w="2623"/>
          <w:gridCol w:w="5881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77850" cy="866775"/>
                <wp:effectExtent b="0" l="0" r="0" t="0"/>
                <wp:docPr descr="LogoEJP" id="8" name="image1.png"/>
                <a:graphic>
                  <a:graphicData uri="http://schemas.openxmlformats.org/drawingml/2006/picture">
                    <pic:pic>
                      <pic:nvPicPr>
                        <pic:cNvPr descr="LogoEJP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7">
          <w:pPr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48">
          <w:pPr>
            <w:jc w:val="righ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63242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color w:val="632423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63242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color w:val="632423"/>
      <w:sz w:val="52"/>
      <w:szCs w:val="52"/>
    </w:rPr>
  </w:style>
  <w:style w:type="paragraph" w:styleId="Normal" w:default="1">
    <w:name w:val="Normal"/>
    <w:qFormat w:val="1"/>
    <w:rsid w:val="00681741"/>
    <w:pPr>
      <w:spacing w:after="0" w:line="24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681741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632423" w:themeColor="accent2" w:themeShade="0000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681741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632423" w:themeColor="accent2" w:themeShade="000080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704F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704FB"/>
  </w:style>
  <w:style w:type="paragraph" w:styleId="Piedepgina">
    <w:name w:val="footer"/>
    <w:basedOn w:val="Normal"/>
    <w:link w:val="PiedepginaCar"/>
    <w:uiPriority w:val="99"/>
    <w:unhideWhenUsed w:val="1"/>
    <w:rsid w:val="00A704F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704FB"/>
  </w:style>
  <w:style w:type="table" w:styleId="Tablaconcuadrcula">
    <w:name w:val="Table Grid"/>
    <w:basedOn w:val="Tablanormal"/>
    <w:uiPriority w:val="59"/>
    <w:rsid w:val="00A704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681741"/>
    <w:rPr>
      <w:rFonts w:ascii="Verdana" w:hAnsi="Verdana" w:cstheme="majorBidi" w:eastAsiaTheme="majorEastAsia"/>
      <w:b w:val="1"/>
      <w:bCs w:val="1"/>
      <w:color w:val="632423" w:themeColor="accent2" w:themeShade="000080"/>
      <w:sz w:val="28"/>
      <w:szCs w:val="28"/>
    </w:rPr>
  </w:style>
  <w:style w:type="paragraph" w:styleId="Prrafodelista">
    <w:name w:val="List Paragraph"/>
    <w:basedOn w:val="Normal"/>
    <w:uiPriority w:val="34"/>
    <w:qFormat w:val="1"/>
    <w:rsid w:val="00756E9F"/>
    <w:pPr>
      <w:ind w:left="720"/>
      <w:contextualSpacing w:val="1"/>
    </w:pPr>
  </w:style>
  <w:style w:type="character" w:styleId="Ttulo2Car" w:customStyle="1">
    <w:name w:val="Título 2 Car"/>
    <w:basedOn w:val="Fuentedeprrafopredeter"/>
    <w:link w:val="Ttulo2"/>
    <w:uiPriority w:val="9"/>
    <w:rsid w:val="00681741"/>
    <w:rPr>
      <w:rFonts w:ascii="Verdana" w:hAnsi="Verdana" w:cstheme="majorBidi" w:eastAsiaTheme="majorEastAsia"/>
      <w:b w:val="1"/>
      <w:bCs w:val="1"/>
      <w:color w:val="632423" w:themeColor="accent2" w:themeShade="000080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8174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81741"/>
    <w:rPr>
      <w:rFonts w:ascii="Tahoma" w:cs="Tahoma" w:hAnsi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 w:val="1"/>
    <w:rsid w:val="00681741"/>
    <w:pPr>
      <w:pBdr>
        <w:bottom w:color="4f81bd" w:space="4" w:sz="8" w:themeColor="accent1" w:val="single"/>
      </w:pBdr>
      <w:spacing w:after="300"/>
      <w:contextualSpacing w:val="1"/>
    </w:pPr>
    <w:rPr>
      <w:rFonts w:cstheme="majorBidi" w:eastAsiaTheme="majorEastAsia"/>
      <w:color w:val="632423" w:themeColor="accent2" w:themeShade="000080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681741"/>
    <w:rPr>
      <w:rFonts w:ascii="Verdana" w:hAnsi="Verdana" w:cstheme="majorBidi" w:eastAsiaTheme="majorEastAsia"/>
      <w:color w:val="632423" w:themeColor="accent2" w:themeShade="000080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D6757D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D6757D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D6757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 w:val="1"/>
    <w:rsid w:val="00862C25"/>
    <w:rPr>
      <w:color w:val="808080"/>
    </w:rPr>
  </w:style>
  <w:style w:type="paragraph" w:styleId="NormalWeb">
    <w:name w:val="Normal (Web)"/>
    <w:basedOn w:val="Normal"/>
    <w:uiPriority w:val="99"/>
    <w:unhideWhenUsed w:val="1"/>
    <w:rsid w:val="008C15C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vxa3Jfa0hE+5mrWzfcBsDFoug==">AMUW2mXveoQ1RxxUJrQ1We/rIQMINDelWRfLS3uexWjPZQRFfcKPzMRvU/HD9uLfkwyIr2ZvqlRcTqBbawIVslOnXq2vACVPWFusUvASUJPZllS6tl6mZbZoF35kHaxEyn2tiVJjljl2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2021-09-08T13:33:00Z</dcterms:created>
  <dc:creator>dsole</dc:creator>
</cp:coreProperties>
</file>