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Curs: 3r ESO</w:t>
      </w:r>
      <w:r w:rsidDel="00000000" w:rsidR="00000000" w:rsidRPr="00000000">
        <w:rPr>
          <w:b w:val="1"/>
          <w:color w:val="ffffff"/>
          <w:rtl w:val="0"/>
        </w:rPr>
        <w:t xml:space="preserve"> Curricular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Matèria: Francès</w:t>
      </w:r>
    </w:p>
    <w:p w:rsidR="00000000" w:rsidDel="00000000" w:rsidP="00000000" w:rsidRDefault="00000000" w:rsidRPr="00000000" w14:paraId="00000003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Tipus de matèria: Optativa</w:t>
      </w:r>
    </w:p>
    <w:p w:rsidR="00000000" w:rsidDel="00000000" w:rsidP="00000000" w:rsidRDefault="00000000" w:rsidRPr="00000000" w14:paraId="00000004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Matèria pràctica: No</w:t>
      </w:r>
    </w:p>
    <w:p w:rsidR="00000000" w:rsidDel="00000000" w:rsidP="00000000" w:rsidRDefault="00000000" w:rsidRPr="00000000" w14:paraId="00000005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Activitats i elements d’avaluació i la seva ponderació dins la nota de l’avaluació</w:t>
      </w:r>
    </w:p>
    <w:p w:rsidR="00000000" w:rsidDel="00000000" w:rsidP="00000000" w:rsidRDefault="00000000" w:rsidRPr="00000000" w14:paraId="00000006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1r quadrimestre</w:t>
      </w:r>
    </w:p>
    <w:tbl>
      <w:tblPr>
        <w:tblStyle w:val="Table1"/>
        <w:tblW w:w="864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07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08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09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Comprensió escrita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C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blHeader w:val="0"/>
        </w:trPr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D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Comprensió oral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F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blHeader w:val="0"/>
        </w:trPr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1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Expressió oral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blHeader w:val="0"/>
        </w:trPr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3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Expressió escrita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blHeader w:val="0"/>
        </w:trPr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Aprendre a aprendre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Valoració de l’actitud de l’alumnat vers l’aprenentatge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</w:tbl>
    <w:p w:rsidR="00000000" w:rsidDel="00000000" w:rsidP="00000000" w:rsidRDefault="00000000" w:rsidRPr="00000000" w14:paraId="00000019">
      <w:pPr>
        <w:keepNext w:val="1"/>
        <w:keepLines w:val="1"/>
        <w:spacing w:after="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1"/>
        <w:spacing w:after="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1"/>
        <w:spacing w:after="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2n quadrimestre</w:t>
      </w:r>
    </w:p>
    <w:p w:rsidR="00000000" w:rsidDel="00000000" w:rsidP="00000000" w:rsidRDefault="00000000" w:rsidRPr="00000000" w14:paraId="0000001C">
      <w:pPr>
        <w:keepNext w:val="1"/>
        <w:keepLines w:val="1"/>
        <w:spacing w:after="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1D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1E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1F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Comprensió escrita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blHeader w:val="0"/>
        </w:trPr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3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4">
            <w:pPr>
              <w:jc w:val="left"/>
              <w:rPr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Comprensió oral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blHeader w:val="0"/>
        </w:trPr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7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Expressió oral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blHeader w:val="0"/>
        </w:trPr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9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Expressió escrita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B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blHeader w:val="0"/>
        </w:trPr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C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Aprendre a aprendre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Valoració de l’actitud de l’alumnat vers l’aprenentatge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</w:tbl>
    <w:p w:rsidR="00000000" w:rsidDel="00000000" w:rsidP="00000000" w:rsidRDefault="00000000" w:rsidRPr="00000000" w14:paraId="0000002F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/>
      </w:pPr>
      <w:r w:rsidDel="00000000" w:rsidR="00000000" w:rsidRPr="00000000">
        <w:rPr>
          <w:rtl w:val="0"/>
        </w:rPr>
        <w:t xml:space="preserve">El càlcul de la nota final de la matèria es fa amb la mitjana de totes les avaluacions. Tendim a arrodonir a la nota superior si l’alumnat té una nota amb decimals iguals o superiors a 0,5 (6,5-7) i, si és inferior, en funció de l’alumne/a, la seva actitud vers la matèria i el seu progrés.</w:t>
      </w:r>
    </w:p>
    <w:p w:rsidR="00000000" w:rsidDel="00000000" w:rsidP="00000000" w:rsidRDefault="00000000" w:rsidRPr="00000000" w14:paraId="0000003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1"/>
        <w:keepLines w:val="1"/>
        <w:spacing w:after="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Recuperació</w:t>
      </w:r>
    </w:p>
    <w:p w:rsidR="00000000" w:rsidDel="00000000" w:rsidP="00000000" w:rsidRDefault="00000000" w:rsidRPr="00000000" w14:paraId="00000034">
      <w:pPr>
        <w:keepNext w:val="1"/>
        <w:keepLines w:val="1"/>
        <w:spacing w:after="0" w:before="12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La recuperació durant el curs</w:t>
      </w:r>
    </w:p>
    <w:tbl>
      <w:tblPr>
        <w:tblStyle w:val="Table3"/>
        <w:tblW w:w="872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3"/>
        <w:gridCol w:w="4282"/>
        <w:gridCol w:w="3055"/>
        <w:tblGridChange w:id="0">
          <w:tblGrid>
            <w:gridCol w:w="1383"/>
            <w:gridCol w:w="4282"/>
            <w:gridCol w:w="3055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3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Quadrimestre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3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Activitats de recuperació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37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Qualificació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1a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Aprovar el 2n quadrimestre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3B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bookmarkStart w:colFirst="0" w:colLast="0" w:name="_heading=h.ow078aywpkfh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bookmarkStart w:colFirst="0" w:colLast="0" w:name="_heading=h.jerj0gt9jnml" w:id="1"/>
      <w:bookmarkEnd w:id="1"/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Ordinària</w:t>
      </w:r>
    </w:p>
    <w:tbl>
      <w:tblPr>
        <w:tblStyle w:val="Table4"/>
        <w:tblW w:w="864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Treball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Entrega d’un treball sobre la feina realitzada durant el curs.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43">
      <w:pPr>
        <w:pStyle w:val="Heading2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1"/>
        <w:keepLines w:val="1"/>
        <w:spacing w:after="0" w:line="240" w:lineRule="auto"/>
        <w:jc w:val="left"/>
        <w:rPr>
          <w:b w:val="1"/>
          <w:color w:val="632423"/>
          <w:sz w:val="26"/>
          <w:szCs w:val="26"/>
        </w:rPr>
      </w:pPr>
      <w:bookmarkStart w:colFirst="0" w:colLast="0" w:name="_heading=h.u53vaeczuzpv" w:id="2"/>
      <w:bookmarkEnd w:id="2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8" w:left="1559" w:right="1559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tabs>
        <w:tab w:val="center" w:pos="4252"/>
        <w:tab w:val="right" w:pos="8504"/>
      </w:tabs>
      <w:spacing w:after="709"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tabs>
        <w:tab w:val="center" w:pos="4252"/>
        <w:tab w:val="right" w:pos="8504"/>
      </w:tabs>
      <w:spacing w:after="0" w:before="709" w:line="240" w:lineRule="auto"/>
      <w:jc w:val="right"/>
      <w:rPr/>
    </w:pPr>
    <w:r w:rsidDel="00000000" w:rsidR="00000000" w:rsidRPr="00000000">
      <w:rPr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-415923</wp:posOffset>
          </wp:positionH>
          <wp:positionV relativeFrom="paragraph">
            <wp:posOffset>-222883</wp:posOffset>
          </wp:positionV>
          <wp:extent cx="577850" cy="866775"/>
          <wp:effectExtent b="0" l="0" r="0" t="0"/>
          <wp:wrapSquare wrapText="bothSides" distB="0" distT="0" distL="114300" distR="114300"/>
          <wp:docPr descr="LogoEJP" id="3" name="image1.png"/>
          <a:graphic>
            <a:graphicData uri="http://schemas.openxmlformats.org/drawingml/2006/picture">
              <pic:pic>
                <pic:nvPicPr>
                  <pic:cNvPr descr="LogoEJP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7850" cy="86677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5"/>
      <w:tblW w:w="5984.0" w:type="dxa"/>
      <w:jc w:val="righ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984"/>
      <w:tblGridChange w:id="0">
        <w:tblGrid>
          <w:gridCol w:w="5984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46">
          <w:pPr>
            <w:spacing w:before="709" w:lineRule="auto"/>
            <w:jc w:val="right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Criteris d’avaluació</w:t>
          </w:r>
        </w:p>
        <w:p w:rsidR="00000000" w:rsidDel="00000000" w:rsidP="00000000" w:rsidRDefault="00000000" w:rsidRPr="00000000" w14:paraId="00000047">
          <w:pPr>
            <w:tabs>
              <w:tab w:val="center" w:pos="4252"/>
              <w:tab w:val="right" w:pos="8504"/>
            </w:tabs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8">
    <w:pPr>
      <w:tabs>
        <w:tab w:val="center" w:pos="4252"/>
        <w:tab w:val="right" w:pos="8504"/>
      </w:tabs>
      <w:spacing w:after="0" w:line="240" w:lineRule="auto"/>
      <w:rPr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tabs>
        <w:tab w:val="center" w:pos="4252"/>
        <w:tab w:val="right" w:pos="8504"/>
      </w:tabs>
      <w:spacing w:after="0" w:line="240" w:lineRule="auto"/>
      <w:rPr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ca"/>
      </w:rPr>
    </w:rPrDefault>
    <w:pPrDefault>
      <w:pPr>
        <w:spacing w:after="11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40" w:before="280" w:line="240" w:lineRule="auto"/>
      <w:jc w:val="left"/>
    </w:pPr>
    <w:rPr>
      <w:b w:val="1"/>
      <w:color w:val="007fa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30" w:before="260" w:lineRule="auto"/>
      <w:jc w:val="left"/>
    </w:pPr>
    <w:rPr>
      <w:b w:val="1"/>
      <w:color w:val="007fa9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line="240" w:lineRule="auto"/>
      <w:jc w:val="right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240" w:lineRule="auto"/>
      <w:jc w:val="left"/>
    </w:pPr>
    <w:rPr>
      <w:b w:val="1"/>
      <w:i w:val="1"/>
      <w:color w:val="007fa9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line="240" w:lineRule="auto"/>
    </w:pPr>
    <w:rPr>
      <w:b w:val="1"/>
      <w:color w:val="007fa9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40" w:before="280" w:line="240" w:lineRule="auto"/>
      <w:jc w:val="left"/>
      <w:outlineLvl w:val="0"/>
    </w:pPr>
    <w:rPr>
      <w:b w:val="1"/>
      <w:color w:val="007fa9"/>
      <w:sz w:val="28"/>
      <w:szCs w:val="28"/>
    </w:rPr>
  </w:style>
  <w:style w:type="paragraph" w:styleId="Ttulo2">
    <w:name w:val="heading 2"/>
    <w:basedOn w:val="Normal"/>
    <w:next w:val="Normal"/>
    <w:pPr>
      <w:keepNext w:val="1"/>
      <w:keepLines w:val="1"/>
      <w:spacing w:after="130" w:before="260"/>
      <w:jc w:val="left"/>
      <w:outlineLvl w:val="1"/>
    </w:pPr>
    <w:rPr>
      <w:b w:val="1"/>
      <w:color w:val="007fa9"/>
      <w:sz w:val="26"/>
      <w:szCs w:val="26"/>
    </w:rPr>
  </w:style>
  <w:style w:type="paragraph" w:styleId="Ttulo3">
    <w:name w:val="heading 3"/>
    <w:basedOn w:val="Normal"/>
    <w:next w:val="Normal"/>
    <w:pPr>
      <w:keepNext w:val="1"/>
      <w:keepLines w:val="1"/>
      <w:spacing w:after="0" w:line="240" w:lineRule="auto"/>
      <w:jc w:val="right"/>
      <w:outlineLvl w:val="2"/>
    </w:pPr>
    <w:rPr>
      <w:b w:val="1"/>
      <w:sz w:val="20"/>
      <w:szCs w:val="20"/>
    </w:rPr>
  </w:style>
  <w:style w:type="paragraph" w:styleId="Ttulo4">
    <w:name w:val="heading 4"/>
    <w:basedOn w:val="Normal"/>
    <w:next w:val="Normal"/>
    <w:pPr>
      <w:keepNext w:val="1"/>
      <w:keepLines w:val="1"/>
      <w:spacing w:after="120" w:before="240"/>
      <w:jc w:val="left"/>
      <w:outlineLvl w:val="3"/>
    </w:pPr>
    <w:rPr>
      <w:b w:val="1"/>
      <w:i w:val="1"/>
      <w:color w:val="007fa9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300" w:line="240" w:lineRule="auto"/>
    </w:pPr>
    <w:rPr>
      <w:b w:val="1"/>
      <w:color w:val="007fa9"/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</w:pPr>
    <w:rPr>
      <w:i w:val="1"/>
      <w:color w:val="007fa9"/>
      <w:sz w:val="24"/>
      <w:szCs w:val="24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1220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12202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i w:val="1"/>
      <w:color w:val="007fa9"/>
      <w:sz w:val="24"/>
      <w:szCs w:val="24"/>
    </w:rPr>
  </w:style>
  <w:style w:type="table" w:styleId="Table1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DbJ9wk84p/98JtjnpsJEI4l6QA==">AMUW2mWLty6yFfzBcVXi6SE8974Ze5IhGqIy8OxSYqNhRtbu66wpjnoOgsSG+PbF3DKPmwRdEXCVUdBuyh2w+VMie3y3nYcJI5jZwrDQSiO/cB0yvg787jiYsEPwU/TDql9vnGjZ2/apXA+IQAfP3MwYcnHmbI1pY1+L6b9jgTCY72aZQ+5TiqI=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2018-09-06T08:37:00Z</dcterms:created>
  <dc:creator>Montse Puig</dc:creator>
</cp:coreProperties>
</file>