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1r LACQ</w:t>
      </w:r>
      <w:r w:rsidDel="00000000" w:rsidR="00000000" w:rsidRPr="00000000">
        <w:rPr>
          <w:b w:val="1"/>
          <w:color w:val="ffffff"/>
          <w:rtl w:val="0"/>
        </w:rPr>
        <w:t xml:space="preserve">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Anàlisis Químiques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UF1 Materials i reactius per anàlisi química</w:t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hd w:fill="ffffff" w:val="clear"/>
              <w:tabs>
                <w:tab w:val="left" w:pos="226"/>
              </w:tabs>
              <w:spacing w:before="226" w:line="254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Formulació inorgànica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2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Formulació orgànica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3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Estequiometria i Dissolucions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Tipus de reaccions i estequiometria (sals de coure)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Síntesi d’un complex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Identificació diferents tipus de reaccions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Pràctic 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Rendiment de la síntesi de clorur de Zinc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Anàlisi qualitativa d’anions i cations. Mostra incògnita.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23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UF2: Anàlisis volumètrics i gravimètrics</w:t>
      </w:r>
    </w:p>
    <w:tbl>
      <w:tblPr>
        <w:tblStyle w:val="Table2"/>
        <w:tblW w:w="864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2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Volumetries de neutralització àcid-base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2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Volumetries redox, complexiometries i gravimetries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Estandarització HCl. Solubilitat bicarbonat.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Estandarització NaOH. Àcid cítric d’un aliment.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Mostra incògnita HCl.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5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Mescla carbonat i bicarbonat.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Pràctic 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Determinació concentració NaOH incògnita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6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Estandarització KMnO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. Anàlisis de preparats farmacèutics.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Mostra incògnita de Cu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8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Determinació de Calci d’una aigua envasada. Duresa de l’aigua.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Examen Pràctic 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Determinació de clorurs de l’aigua de l’aixeta.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9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Determinació de níquel per gravimetria de dessecació.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Pràctica 10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Determinació per gravimetria de calcinació d’aliments.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UF3 Anàlisi Orgànica</w:t>
      </w:r>
    </w:p>
    <w:p w:rsidR="00000000" w:rsidDel="00000000" w:rsidP="00000000" w:rsidRDefault="00000000" w:rsidRPr="00000000" w14:paraId="00000051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hd w:fill="ffffff" w:val="clear"/>
              <w:tabs>
                <w:tab w:val="left" w:pos="226"/>
              </w:tabs>
              <w:spacing w:before="226" w:line="254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Isòmers i identificació de funcions orgàniques. Separació i purificació de compostos orgànics.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Identificació funcions orgàniques.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Equivalent de neutralització.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Equivalent de saponificació.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Pràctica 4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Reacció de síntesi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Pràctica 5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Anàlisi d’una mostra orgánica incògnita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1"/>
        <w:spacing w:before="480" w:lineRule="auto"/>
        <w:rPr/>
      </w:pPr>
      <w:r w:rsidDel="00000000" w:rsidR="00000000" w:rsidRPr="00000000">
        <w:rPr>
          <w:rtl w:val="0"/>
        </w:rPr>
        <w:t xml:space="preserve">Si en la Unitat Formativa no s’avaluen més de la meitat de les pràctiques (ja sigui per no entregar el corresponent treball/informe/... o bé per no realitzar la pràctica), o bé la mitjana ponderada dels diferents informes/treballs/... no arriba al 5, la Unitat Formativa es considerarà suspesa, </w:t>
      </w:r>
      <w:r w:rsidDel="00000000" w:rsidR="00000000" w:rsidRPr="00000000">
        <w:rPr>
          <w:u w:val="single"/>
          <w:rtl w:val="0"/>
        </w:rPr>
        <w:t xml:space="preserve">independentment de la nota dels exàmens</w:t>
      </w:r>
      <w:r w:rsidDel="00000000" w:rsidR="00000000" w:rsidRPr="00000000">
        <w:rPr>
          <w:rtl w:val="0"/>
        </w:rPr>
        <w:t xml:space="preserve">, i s’haurà d’anar directament a la recuperació extraordinària, perdent el dret el/la alumne/a a la recuperació ordinària. </w:t>
      </w:r>
    </w:p>
    <w:p w:rsidR="00000000" w:rsidDel="00000000" w:rsidP="00000000" w:rsidRDefault="00000000" w:rsidRPr="00000000" w14:paraId="00000068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69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Es realitzarà la mitja ponderada de les tres UF, comptant que la UF 1 té un pes del 40%,  la UF 2 té un pes del  40% i la UF 3 té un pes del 20%. </w:t>
      </w:r>
    </w:p>
    <w:p w:rsidR="00000000" w:rsidDel="00000000" w:rsidP="00000000" w:rsidRDefault="00000000" w:rsidRPr="00000000" w14:paraId="0000006A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6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p w:rsidR="00000000" w:rsidDel="00000000" w:rsidP="00000000" w:rsidRDefault="00000000" w:rsidRPr="00000000" w14:paraId="0000006D">
      <w:pPr>
        <w:keepNext w:val="1"/>
        <w:keepLines w:val="1"/>
        <w:spacing w:after="0" w:before="200" w:line="240" w:lineRule="auto"/>
        <w:rPr/>
      </w:pPr>
      <w:r w:rsidDel="00000000" w:rsidR="00000000" w:rsidRPr="00000000">
        <w:rPr>
          <w:rtl w:val="0"/>
        </w:rPr>
        <w:t xml:space="preserve">En el cas que alguna de les proves no arribi a la qualificació mínima de 4, es realitzarà una recuperació d’aquella prova durant el curs, guardant-se les altres notes obtingudes per el/la alumne/a. En el cas que no s’aprovi aquesta segona prova, s’haurà d’anar a la recuperació extraordinària. </w:t>
      </w:r>
    </w:p>
    <w:p w:rsidR="00000000" w:rsidDel="00000000" w:rsidP="00000000" w:rsidRDefault="00000000" w:rsidRPr="00000000" w14:paraId="0000006E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Extraordinària</w:t>
      </w:r>
      <w:r w:rsidDel="00000000" w:rsidR="00000000" w:rsidRPr="00000000">
        <w:rPr>
          <w:b w:val="1"/>
          <w:color w:val="007fa9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keepLines w:val="1"/>
        <w:spacing w:after="0" w:before="200" w:line="240" w:lineRule="auto"/>
        <w:jc w:val="left"/>
        <w:rPr/>
      </w:pPr>
      <w:r w:rsidDel="00000000" w:rsidR="00000000" w:rsidRPr="00000000">
        <w:rPr>
          <w:rtl w:val="0"/>
        </w:rPr>
        <w:t xml:space="preserve">Per cada Unitat Formativa no aprovada es realitzarà la següent recuperació:</w:t>
      </w:r>
    </w:p>
    <w:p w:rsidR="00000000" w:rsidDel="00000000" w:rsidP="00000000" w:rsidRDefault="00000000" w:rsidRPr="00000000" w14:paraId="00000070">
      <w:pPr>
        <w:keepNext w:val="1"/>
        <w:keepLines w:val="1"/>
        <w:spacing w:after="0" w:before="20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71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72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Temari de la Unitat Formativa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2*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Pràctiques realitzades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*Aquesta prova haurà de ser realitzada per aquells alumnes que no han entregat, com a mínim, la meitat dels informes de les pràctiques realitzades, o bé la mitjana ponderada dels informes entregats no arribi al 5. Caldrà aprovar les dues parts per tal de tenir aprovada la Unitat Formativa.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Setembre per a ESO i 1r de Batxillerat, Juny per a 2n de Batxillerat i Cicles Formatius.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-439419</wp:posOffset>
          </wp:positionH>
          <wp:positionV relativeFrom="paragraph">
            <wp:posOffset>-250189</wp:posOffset>
          </wp:positionV>
          <wp:extent cx="579120" cy="865505"/>
          <wp:effectExtent b="0" l="0" r="0" t="0"/>
          <wp:wrapSquare wrapText="bothSides" distB="0" distT="0" distL="114300" distR="11430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120" cy="8655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E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7F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Divendres, 15 / setembre / 2017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paragraph" w:styleId="Ttulo6">
    <w:name w:val="heading 6"/>
    <w:basedOn w:val="Normal"/>
    <w:next w:val="Normal"/>
    <w:link w:val="Ttulo6Car"/>
    <w:qFormat w:val="1"/>
    <w:rsid w:val="00F97AFB"/>
    <w:pPr>
      <w:keepNext w:val="1"/>
      <w:spacing w:after="0" w:before="120" w:line="240" w:lineRule="auto"/>
      <w:outlineLvl w:val="5"/>
    </w:pPr>
    <w:rPr>
      <w:rFonts w:ascii="Arial" w:cs="Times New Roman" w:eastAsia="Times New Roman" w:hAnsi="Arial"/>
      <w:b w:val="1"/>
      <w:i w:val="1"/>
      <w:sz w:val="24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642DA7"/>
    <w:pPr>
      <w:numPr>
        <w:ilvl w:val="1"/>
      </w:numPr>
    </w:pPr>
    <w:rPr>
      <w:rFonts w:cstheme="majorBidi" w:eastAsiaTheme="majorEastAsia"/>
      <w:i w:val="1"/>
      <w:iCs w:val="1"/>
      <w:color w:val="007fa9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6Car" w:customStyle="1">
    <w:name w:val="Título 6 Car"/>
    <w:basedOn w:val="Fuentedeprrafopredeter"/>
    <w:link w:val="Ttulo6"/>
    <w:rsid w:val="00F97AFB"/>
    <w:rPr>
      <w:rFonts w:ascii="Arial" w:cs="Times New Roman" w:eastAsia="Times New Roman" w:hAnsi="Arial"/>
      <w:b w:val="1"/>
      <w:i w:val="1"/>
      <w:sz w:val="24"/>
      <w:szCs w:val="20"/>
      <w:lang w:eastAsia="es-ES" w:val="ca-ES"/>
    </w:rPr>
  </w:style>
  <w:style w:type="numbering" w:styleId="Sinlista1" w:customStyle="1">
    <w:name w:val="Sin lista1"/>
    <w:next w:val="Sinlista"/>
    <w:uiPriority w:val="99"/>
    <w:semiHidden w:val="1"/>
    <w:unhideWhenUsed w:val="1"/>
    <w:rsid w:val="00F97AFB"/>
  </w:style>
  <w:style w:type="table" w:styleId="Tablaconcuadrcula4" w:customStyle="1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cs="Courier New" w:eastAsia="Times New Roman" w:hAnsi="Courier New"/>
      <w:sz w:val="20"/>
      <w:szCs w:val="20"/>
      <w:lang w:eastAsia="es-ES"/>
    </w:rPr>
  </w:style>
  <w:style w:type="character" w:styleId="TextosinformatoCar" w:customStyle="1">
    <w:name w:val="Texto sin formato Car"/>
    <w:basedOn w:val="Fuentedeprrafopredeter"/>
    <w:link w:val="Textosinformato"/>
    <w:rsid w:val="00F97AFB"/>
    <w:rPr>
      <w:rFonts w:ascii="Courier New" w:cs="Courier New" w:eastAsia="Times New Roman" w:hAnsi="Courier New"/>
      <w:sz w:val="20"/>
      <w:szCs w:val="20"/>
      <w:lang w:eastAsia="es-ES" w:val="ca-ES"/>
    </w:rPr>
  </w:style>
  <w:style w:type="paragraph" w:styleId="Vinyeta1" w:customStyle="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cs="Formata-Regular" w:eastAsia="Times New Roman" w:hAnsi="Arial"/>
      <w:color w:val="000000"/>
      <w:szCs w:val="20"/>
      <w:lang w:eastAsia="es-ES"/>
    </w:rPr>
  </w:style>
  <w:style w:type="table" w:styleId="Tablaconcuadrcula5" w:customStyle="1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aclara-nfasis11" w:customStyle="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1ZcoK5QraxmKPwQjgg/aDCZWA==">AMUW2mUOUgta1VL9VgPJKQLuA263tuhg621aCyDXV/UQGs76ATC5h0DeDDEK9qqgm2gtRihDNsRTL9rxBCz4OoQsPYBxGHtLVRB2oHvlLbnzRoOyqnEigYmN1uXbvMFXGy1Gni/39Hws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2021-09-08T12:32:00Z</dcterms:created>
  <dc:creator>Elisabet Moreno</dc:creator>
</cp:coreProperties>
</file>