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Curs: 2n LACQ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Matèria: M3-Anàlisis instrumental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Matèria pràctica: SI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UF1 : Mètodes elèctrics</w:t>
      </w:r>
    </w:p>
    <w:tbl>
      <w:tblPr>
        <w:tblStyle w:val="Table1"/>
        <w:tblW w:w="876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1"/>
        <w:gridCol w:w="6238"/>
        <w:gridCol w:w="1089"/>
        <w:tblGridChange w:id="0">
          <w:tblGrid>
            <w:gridCol w:w="1441"/>
            <w:gridCol w:w="6238"/>
            <w:gridCol w:w="10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Examen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Introducció a l’Electroquímica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Examen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Electrogravimetria i Potenciometria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Electroquímica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3645"/>
              </w:tabs>
              <w:rPr/>
            </w:pPr>
            <w:r w:rsidDel="00000000" w:rsidR="00000000" w:rsidRPr="00000000">
              <w:rPr>
                <w:rtl w:val="0"/>
              </w:rPr>
              <w:t xml:space="preserve">Potenciometria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Potenciometria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Pràctica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Conductimetria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Pràctica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Conductimetria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10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  <w:t xml:space="preserve">UF2: Mètodes òptics</w:t>
      </w:r>
    </w:p>
    <w:tbl>
      <w:tblPr>
        <w:tblStyle w:val="Table2"/>
        <w:tblW w:w="8759.0" w:type="dxa"/>
        <w:jc w:val="left"/>
        <w:tblInd w:w="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5880"/>
        <w:gridCol w:w="1109"/>
        <w:tblGridChange w:id="0">
          <w:tblGrid>
            <w:gridCol w:w="1770"/>
            <w:gridCol w:w="5880"/>
            <w:gridCol w:w="11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Pes/%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Examen NF1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Interacció radiació matèria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Examen NF2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Espectrofotometria UV-Vis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Examen NF3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Espectroscòpia Atòmica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Examen NF4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Radiació Infraroja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Examen NF5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Polarimetria i Índex de Refracció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Espectre UV-Vis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Colorimetria I: Determinació del pKa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Colorimetria II: Determinació de P en begudes de Cola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Pràctica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Addicions Estàndard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Pràctica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Espectres IR i tècniques no espectroscòpiques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20" w:before="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/>
      </w:pPr>
      <w:r w:rsidDel="00000000" w:rsidR="00000000" w:rsidRPr="00000000">
        <w:rPr>
          <w:rtl w:val="0"/>
        </w:rPr>
        <w:t xml:space="preserve">UF3 : Mètodes cromatogràfics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1"/>
        <w:gridCol w:w="6238"/>
        <w:gridCol w:w="1089"/>
        <w:tblGridChange w:id="0">
          <w:tblGrid>
            <w:gridCol w:w="1441"/>
            <w:gridCol w:w="6238"/>
            <w:gridCol w:w="10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Examen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NF1. Introducció i TLC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Examen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NF2. Cromatografia de gasos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Examen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NF3. Cromatografia de líquids (HPLC)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Examen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NF4. Tractament numèric de resultats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Aplicació pràctica de la TLC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pos="3645"/>
              </w:tabs>
              <w:rPr/>
            </w:pPr>
            <w:r w:rsidDel="00000000" w:rsidR="00000000" w:rsidRPr="00000000">
              <w:rPr>
                <w:rtl w:val="0"/>
              </w:rPr>
              <w:t xml:space="preserve">Cromatografia en columna – Condicions instrumentals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Descripció de les condicions instrumentals utilitzades en una separació cromatogràfica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Exercici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Identificació dels elements d’una separació cromatogràfica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  <w:t xml:space="preserve">La nota final es calcula amb una mitja de les notes de les 3 unitats formatives.</w:t>
      </w:r>
    </w:p>
    <w:p w:rsidR="00000000" w:rsidDel="00000000" w:rsidP="00000000" w:rsidRDefault="00000000" w:rsidRPr="00000000" w14:paraId="00000065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Recuperació</w:t>
      </w:r>
    </w:p>
    <w:p w:rsidR="00000000" w:rsidDel="00000000" w:rsidP="00000000" w:rsidRDefault="00000000" w:rsidRPr="00000000" w14:paraId="00000066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La recuperació durant el curs</w:t>
      </w:r>
    </w:p>
    <w:tbl>
      <w:tblPr>
        <w:tblStyle w:val="Table4"/>
        <w:tblW w:w="876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4297"/>
        <w:gridCol w:w="3059"/>
        <w:tblGridChange w:id="0">
          <w:tblGrid>
            <w:gridCol w:w="1412"/>
            <w:gridCol w:w="4297"/>
            <w:gridCol w:w="30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Avaluació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 de recuperació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UF1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Examen de cadascun dels parcials amb nota inferior a 4. Cal tenir les pràctiques lliurades.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Nota de l’examen = 5 però es mantenen les notes de la resta d’exàmens i pràctiques. La nota pot ser &gt;5.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UF2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Examen de cadascun dels parcials (Interacció radiació matèria. Radiació UV-Vis, Absorció/Emissió atòmica) amb nota inferior a 4. Cal tenir les pràctiques lliurades.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Nota de l’examen = 5 però es mantenen les notes de la resta d’exàmens i pràctiques. La nota pot ser &gt;5.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Examen de cadascun dels parcials (Radiació Infraroja, Polarimetria i Índex de Refracció) amb nota inferior a 4. Cal tenir les pràctiques lliurades.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Nota de l’examen = 5 però es mantenen les notes de la resta d’exàmens i pràctiques. La nota pot ser &gt;5.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UF3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Examen de cadascun dels parcials amb nota inferior a 4. Cal tenir les pràctiques lliurades.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Nota de l’examen = 5 però es mantenen les notes de la resta d’exàmens i pràctiques. La nota pot ser &gt;5.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rPr/>
      </w:pPr>
      <w:r w:rsidDel="00000000" w:rsidR="00000000" w:rsidRPr="00000000">
        <w:rPr>
          <w:rtl w:val="0"/>
        </w:rPr>
        <w:t xml:space="preserve">Extraordinària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5"/>
        <w:tblW w:w="876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2"/>
        <w:gridCol w:w="5329"/>
        <w:gridCol w:w="1387"/>
        <w:tblGridChange w:id="0">
          <w:tblGrid>
            <w:gridCol w:w="2052"/>
            <w:gridCol w:w="5329"/>
            <w:gridCol w:w="1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Pes/%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Examen UF1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Examen de tota la unitat formativa.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Nota final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Examen UF2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Examen de tota la unitat formativa.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Nota final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Examen UF3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Examen de tota la unitat formativa.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Nota final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Càlcul de la nota final del mòdul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Per a superar el mòdul professional M3 cal superar </w:t>
      </w:r>
      <w:r w:rsidDel="00000000" w:rsidR="00000000" w:rsidRPr="00000000">
        <w:rPr>
          <w:b w:val="1"/>
          <w:rtl w:val="0"/>
        </w:rPr>
        <w:t xml:space="preserve">independentment</w:t>
      </w:r>
      <w:r w:rsidDel="00000000" w:rsidR="00000000" w:rsidRPr="00000000">
        <w:rPr>
          <w:rtl w:val="0"/>
        </w:rPr>
        <w:t xml:space="preserve"> les 3 unitats formatives. La qualificació del mòdul professional (QMP) s’obté segons la següent ponderació: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670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tblGridChange w:id="0">
          <w:tblGrid>
            <w:gridCol w:w="567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QMP = (Q</w:t>
            </w:r>
            <w:r w:rsidDel="00000000" w:rsidR="00000000" w:rsidRPr="00000000">
              <w:rPr>
                <w:vertAlign w:val="subscript"/>
                <w:rtl w:val="0"/>
              </w:rPr>
              <w:t xml:space="preserve">UF1</w:t>
            </w:r>
            <w:r w:rsidDel="00000000" w:rsidR="00000000" w:rsidRPr="00000000">
              <w:rPr>
                <w:rtl w:val="0"/>
              </w:rPr>
              <w:t xml:space="preserve"> + Q</w:t>
            </w:r>
            <w:r w:rsidDel="00000000" w:rsidR="00000000" w:rsidRPr="00000000">
              <w:rPr>
                <w:vertAlign w:val="subscript"/>
                <w:rtl w:val="0"/>
              </w:rPr>
              <w:t xml:space="preserve">UF2</w:t>
            </w:r>
            <w:r w:rsidDel="00000000" w:rsidR="00000000" w:rsidRPr="00000000">
              <w:rPr>
                <w:rtl w:val="0"/>
              </w:rPr>
              <w:t xml:space="preserve"> + Q</w:t>
            </w:r>
            <w:r w:rsidDel="00000000" w:rsidR="00000000" w:rsidRPr="00000000">
              <w:rPr>
                <w:vertAlign w:val="subscript"/>
                <w:rtl w:val="0"/>
              </w:rPr>
              <w:t xml:space="preserve">UF3</w:t>
            </w:r>
            <w:r w:rsidDel="00000000" w:rsidR="00000000" w:rsidRPr="00000000">
              <w:rPr>
                <w:rtl w:val="0"/>
              </w:rPr>
              <w:t xml:space="preserve">)/3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on Q</w:t>
      </w:r>
      <w:r w:rsidDel="00000000" w:rsidR="00000000" w:rsidRPr="00000000">
        <w:rPr>
          <w:vertAlign w:val="subscript"/>
          <w:rtl w:val="0"/>
        </w:rPr>
        <w:t xml:space="preserve">UF1, </w:t>
      </w: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vertAlign w:val="subscript"/>
          <w:rtl w:val="0"/>
        </w:rPr>
        <w:t xml:space="preserve">UF2</w:t>
      </w:r>
      <w:r w:rsidDel="00000000" w:rsidR="00000000" w:rsidRPr="00000000">
        <w:rPr>
          <w:rtl w:val="0"/>
        </w:rPr>
        <w:t xml:space="preserve"> i Q</w:t>
      </w:r>
      <w:r w:rsidDel="00000000" w:rsidR="00000000" w:rsidRPr="00000000">
        <w:rPr>
          <w:vertAlign w:val="subscript"/>
          <w:rtl w:val="0"/>
        </w:rPr>
        <w:t xml:space="preserve">UF3</w:t>
      </w:r>
      <w:r w:rsidDel="00000000" w:rsidR="00000000" w:rsidRPr="00000000">
        <w:rPr>
          <w:rtl w:val="0"/>
        </w:rPr>
        <w:t xml:space="preserve"> són les qualificacions de les respectives unitats formatives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Setembre per a ESO i 1r de Batxillerat, Juny per a 2n de Batxillerat i Cicles Formatius.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-357504</wp:posOffset>
          </wp:positionH>
          <wp:positionV relativeFrom="paragraph">
            <wp:posOffset>-234949</wp:posOffset>
          </wp:positionV>
          <wp:extent cx="579120" cy="865505"/>
          <wp:effectExtent b="0" l="0" r="0" t="0"/>
          <wp:wrapSquare wrapText="bothSides" distB="0" distT="0" distL="114300" distR="11430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" cy="8655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0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91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Divendres, 18 / setembre / 2015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2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6">
    <w:name w:val="heading 6"/>
    <w:basedOn w:val="Normal"/>
    <w:next w:val="Normal"/>
    <w:link w:val="Ttulo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6Car" w:customStyle="1">
    <w:name w:val="Título 6 Car"/>
    <w:basedOn w:val="Fuentedeprrafopredeter"/>
    <w:link w:val="Ttulo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  <w:lang w:eastAsia="es-ES"/>
    </w:rPr>
  </w:style>
  <w:style w:type="character" w:styleId="TextosinformatoCar" w:customStyle="1">
    <w:name w:val="Texto sin formato Car"/>
    <w:basedOn w:val="Fuentedeprrafopredeter"/>
    <w:link w:val="Textosinformato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  <w:lang w:eastAsia="es-ES"/>
    </w:rPr>
  </w:style>
  <w:style w:type="table" w:styleId="Tablaconcuadrcula5" w:customStyle="1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-nfasis11" w:customStyle="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2WgRVHh9Zgs++CpFLIOa+ZaCg==">AMUW2mV2QwTEXSXeBx/D2eGpp2Y1GD4oU27w81b+TZzf+n3cmKcEPH35KBOpUiVVoToBv+MluZ52HTq0kvh4F2/q8Rfz+iPn99ro6PqMM7AFBfD8xzHOvsk=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2021-02-21T17:26:00Z</dcterms:created>
  <dc:creator>Elisabet Moreno</dc:creator>
</cp:coreProperties>
</file>